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A3BDF"/>
    <w:p w14:paraId="7AAEDAF2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49ACB0A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DFA72E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8A7986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68332D8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2024年中央耕地建设与利用资金(耕地地力保护补贴)项目支出绩效评价</w:t>
      </w:r>
    </w:p>
    <w:p w14:paraId="6C04C712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6DA3AB8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E97A4B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1139A4E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5DAA2A4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42C1750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F4D59ED">
      <w:pPr>
        <w:pStyle w:val="10"/>
        <w:rPr>
          <w:rFonts w:hint="default" w:ascii="Times New Roman" w:hAnsi="Times New Roman" w:cs="Times New Roman"/>
        </w:rPr>
      </w:pPr>
    </w:p>
    <w:p w14:paraId="5270D6B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DCF1ACB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5BEBC3B">
      <w:pPr>
        <w:spacing w:line="700" w:lineRule="exact"/>
        <w:ind w:left="1436" w:leftChars="684" w:firstLine="0" w:firstLineChars="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项目名称：2024年中央耕地建设与利用资金(耕地地力保护补贴)</w:t>
      </w:r>
    </w:p>
    <w:p w14:paraId="76B7FB2B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实施单位（公章）：裕民县农业农村局</w:t>
      </w:r>
    </w:p>
    <w:p w14:paraId="78579A08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主管部门（公章）：裕民县农业农村局</w:t>
      </w:r>
    </w:p>
    <w:p w14:paraId="602378CC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项目负责人（签章）：邓志强</w:t>
      </w:r>
    </w:p>
    <w:p w14:paraId="71503993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6CD34824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F2B065A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66395CD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2578EE32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2A98353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耕地地力保护补贴资金是国家为保护耕地资源和耕地地力，提升粮食生产潜力，实施普惠制耕地地力保护补贴。耕地地力保护补贴资金用于确保耕地不撂荒，确保耕地地力不降低，增加粮食产量，提高粮食质量。根据《关于提前下达2024年中央耕地建设与利用资金（耕地力保护补贴）预算的通知》(塔地财农[2023]22号裕财农[2023]19号)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、《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2024年自治区农业生产发展资金（耕地地力保护补贴）--直达资金》(塔地财农[2023]36号财农[2023]29号)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、《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关于下达2024年中央耕地建设与利用资金预算的通知--耕地轮作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》（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塔地财农[2024]10号裕财农[2024]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，中央补贴资金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2334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万元、自治区补贴资金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460.76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万元，实施本项目。</w:t>
      </w:r>
    </w:p>
    <w:p w14:paraId="7687D5C6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01F896F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2024年实施耕地地力保护补项目，项目预算资金共计27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.76万元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补贴对象为所有合法的实际农业种植者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，耕地实际用于种植冬小麦、春小麦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。其中中央资金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2334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万元主要用于补贴11万亩小麦、补贴标准215.87元/亩、补贴资金2319万元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实施1000亩地的耕地轮作补助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标准为150元/亩，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补贴资金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15万元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其中阿勒腾也木勒乡800亩，吉也克镇200亩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）；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自治区资金用于11万亩冬小麦补贴、补贴标准14.13元/亩、补贴金额155.42万元；自治区资金用于3万亩春小麦补贴、补贴标准101.78元/亩，补贴资金305.34万元。</w:t>
      </w:r>
    </w:p>
    <w:p w14:paraId="4F92E98D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实施情况：全年预算资金2794.76万元，全年执行资金2794.76万元，资金执行率为100%。截止2024年12月25日，一是在5个乡镇实施冬、春小麦补贴，补贴资金2779.76万元，补贴冬春小麦面积14.80085万亩，其中冬小麦发放1223户，春小麦发放718户，二是实施1000亩地的耕地轮作15万元，补助标准为150元/亩，其中阿勒腾也木勒乡800亩，吉也克镇200亩。通过本项目的实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，有效的提高了土地的利用率，保护耕地质量，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逐渐提高种粮农民积极性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显著提高种粮农民经济收益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34C29D4B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08B85C2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205450E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2779.76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2794.76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C66AC2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 w14:paraId="7F19CC9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2779.76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2794.76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，全年执行数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2794.76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%，主要用于：冬小麦和春小麦种植户的补贴。</w:t>
      </w:r>
    </w:p>
    <w:p w14:paraId="2E890493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78D4E24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55D9AB0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裕民县农业农村局2024年实施《关于提前下达2024年中央耕地建设与利用资金（耕地力保护补贴）预算的通知》(塔地财农[2023]22号裕财[2023]19号)、《2024年自治区农业生产发展资金（耕地地力保护补贴）》(塔地财农[2023]36号裕财[2023]29号)《关于下达2024年中央耕地建设与利用资金预算的通知--耕地轮作》（塔地财农[2024]10号裕财农[2024]8号）项目，预算资金2794.76万元，计划在5个乡镇实施补贴11万亩的小麦补贴及1000亩地的耕地轮作。通过本项目的实施将显著提高种粮农民经济收益、逐渐提高种粮农民积极性。</w:t>
      </w:r>
    </w:p>
    <w:p w14:paraId="66A497C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2.阶段性目标（指的是项目分阶段性要做的工作内容，也是对总体目标的细化。建议根据项目情况自行修改描述，具体可以围绕：季度或者半年度要完成的工作内容或任务目标，进行描述）</w:t>
      </w:r>
    </w:p>
    <w:p w14:paraId="6BE878C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实施《关于提前下达2024年中央耕地建设与利用资金（耕地力保护补贴）预算的通知》(塔地财农[2023]22号裕财[2023]19号)、《2024年自治区农业生产发展资金（耕地地力保护补贴）》(塔地财农[2023]36号裕财[2023]29号)《关于下达2024年中央耕地建设与利用资金预算的通知--耕地轮作》（塔地财农[2024]10号裕财农[2024]8号）项目，项目下达后建立补贴面积核查数据，按照农民申报的补贴面积进行实地核查，包括耕地面积、耕地位置、种植作物种类、土地利用现状等，确保核查面积的真实性和准确性，为后续发放补贴工作机工坚实的依据和保障。</w:t>
      </w:r>
    </w:p>
    <w:p w14:paraId="2A847AA4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2FE67F7F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08588032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1.绩效评价完整性</w:t>
      </w:r>
    </w:p>
    <w:p w14:paraId="133A688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5350C64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</w:p>
    <w:p w14:paraId="4CBCDFA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3FC7999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400F046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0463980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绩效评价的目的</w:t>
      </w:r>
    </w:p>
    <w:p w14:paraId="0B212DC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（1）评估项目实施效果</w:t>
      </w:r>
    </w:p>
    <w:p w14:paraId="15E9414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</w:p>
    <w:p w14:paraId="7EF3DAB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（2）提升资源利用效率</w:t>
      </w:r>
    </w:p>
    <w:p w14:paraId="1F5D5F0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659DD51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（3）强化项目管理责任</w:t>
      </w:r>
    </w:p>
    <w:p w14:paraId="39A7E5D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11DE92C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（4）为决策提供支持</w:t>
      </w:r>
    </w:p>
    <w:p w14:paraId="674E837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249FEAF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（5）促进项目持续改进</w:t>
      </w:r>
    </w:p>
    <w:p w14:paraId="1132FE2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2523C74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049B84A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0C64C39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本项目预算绩效评价报告的评价对象是2024年中央耕地建设与利用资金(耕地地力保护补贴)及其预算执行情况。该项目由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裕民县农业农村局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负责实施，旨在提高种粮农民经济收益、逐渐提高种粮农民积极性。项目预算涵盖从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2794.76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万元。</w:t>
      </w:r>
    </w:p>
    <w:p w14:paraId="1EB3977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4.绩效评价的范围</w:t>
      </w:r>
    </w:p>
    <w:p w14:paraId="25DCEAC5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36BBAFF1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项目预算编制与执行：全面审视项目预算的编制依据、合理性、科学性以及实际执行情况，包括预算调整的原因和效果。</w:t>
      </w:r>
    </w:p>
    <w:p w14:paraId="4CC6B912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资金管理：深入分析项目资金的分配、使用和监管情况，确保资金使用的合规性、高效性和透明度。</w:t>
      </w:r>
    </w:p>
    <w:p w14:paraId="0D91AC2D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项目实施进度与产出：评估项目是否按照既定计划顺利推进，各项任务是否按时完成，以及项目产出的数量、质量和时效性是否符合预期。</w:t>
      </w:r>
    </w:p>
    <w:p w14:paraId="55520AD2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社会、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等影响：考察项目对社会、经济等方面的综合影响。</w:t>
      </w:r>
    </w:p>
    <w:p w14:paraId="5BC0C2F5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145AF8D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43F6BFD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本次项目绩效评价遵循以下基本原则：</w:t>
      </w:r>
    </w:p>
    <w:p w14:paraId="323AB52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（1）科学公正。绩效评价应当运用科学合理的方法，按照规范的程序，对项目绩效进行客观、公正的反映。</w:t>
      </w:r>
    </w:p>
    <w:p w14:paraId="0FF155A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7FCF74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3E1829C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（4）公开透明。绩效评价结果应依法依规公开，并自觉接受社会监督。</w:t>
      </w:r>
    </w:p>
    <w:p w14:paraId="5838426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60E1F9EF">
      <w:pPr>
        <w:spacing w:line="560" w:lineRule="exact"/>
        <w:ind w:firstLine="640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绩效评价框架是开展绩效评价的核心。绩效评价框架包括评价准则、关键评价问题、评价指标、数据来源、数据收集方法等。指标体系建立过程如下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：</w:t>
      </w:r>
    </w:p>
    <w:p w14:paraId="1B03709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1813444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DED7AC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（2）确定权重</w:t>
      </w:r>
    </w:p>
    <w:p w14:paraId="4CFE916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确定各个指标相对于项目总体绩效的权重分值。在绩效评价指标体系中，项目决策权重为20分，项目过程权重为20分，项目产出权重为40分，项目效益权重为20分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182CCB0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093B75C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511F3F9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绩效评价总分值100分，根据综合评分结果，90（含）-100分为优、80（含）-90分为良、60（含）-80分为中、60分以下为差。</w:t>
      </w:r>
    </w:p>
    <w:p w14:paraId="16FEEC5F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1509D9B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0BC9E15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17BAD75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500970D3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（一）成本效益分析法。是指将投入与产出、效益进行关联性分析的方法。</w:t>
      </w:r>
    </w:p>
    <w:p w14:paraId="6579813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（二）比较法。是指将实施情况与绩效目标、历史情况、不同部门和地区同类支出情况进行比较的方法。</w:t>
      </w:r>
    </w:p>
    <w:p w14:paraId="44802C2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（三）因素分析法。是指综合分析影响绩效目标实现、实施效果的内外部因素的方法。</w:t>
      </w:r>
    </w:p>
    <w:p w14:paraId="5FE1C42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（四）公众评判法。是指通过专家评估、公众问卷及抽样调查等方式进行评判的方法。</w:t>
      </w:r>
    </w:p>
    <w:p w14:paraId="709ECF2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（五）其他评价方法。</w:t>
      </w:r>
    </w:p>
    <w:p w14:paraId="5A9C3AF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406D0890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标准。</w:t>
      </w:r>
    </w:p>
    <w:p w14:paraId="0DAA5F80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（1）计划标准。指以预先制定的目标、计划、预算、定额等作为评价标准。</w:t>
      </w:r>
    </w:p>
    <w:p w14:paraId="6C6A110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（2）行业标准。指参照国家公布的行业指标数据制定的评价标准。</w:t>
      </w:r>
    </w:p>
    <w:p w14:paraId="57C786DF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（3）历史标准。指参照历史数据制定的评价标准，为体现绩效改进的原则，在可实现的条件下应当确定相对较高的评价标准。</w:t>
      </w:r>
    </w:p>
    <w:p w14:paraId="6F49E61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（4）财政部门和预算部门确认或认可的其他标准。</w:t>
      </w:r>
    </w:p>
    <w:p w14:paraId="1C82C7C6"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5A8E1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（1）前期准备与规划</w:t>
      </w:r>
    </w:p>
    <w:p w14:paraId="02F58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在项目绩效评价工作启动之初，成立了专门的评价工作小组，小组成员由财务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人员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5C305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（2）指标体系构建</w:t>
      </w:r>
    </w:p>
    <w:p w14:paraId="3B60D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 w14:paraId="3183B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（3）数据收集与整理</w:t>
      </w:r>
    </w:p>
    <w:p w14:paraId="649CB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1E92E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（4）数据分析与评估</w:t>
      </w:r>
    </w:p>
    <w:p w14:paraId="4676A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35B71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（5）报告撰写与反馈</w:t>
      </w:r>
    </w:p>
    <w:p w14:paraId="0D5E5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41A16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（6）后续跟踪与改进</w:t>
      </w:r>
    </w:p>
    <w:p w14:paraId="17DA3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1F267BE8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07F257E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2B803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本项目的综合评价基于对项目各方面绩效的深入分析与评估。从项目目标的达成情况来看，2024年中央耕地建设与利用资金(耕地地力保护补贴)在补贴冬小麦面积、耕地轮作面积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补贴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实施过程中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取得了显著的成效，如增加种植小麦农民全年总收入、提高种粮农民积极性等。</w:t>
      </w:r>
    </w:p>
    <w:p w14:paraId="23328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在项目管理方面，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裕民县农业农村局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通过有效的规划、组织与协调，项目得以顺利实施，并在预算与时间上保持了良好的控制。</w:t>
      </w:r>
    </w:p>
    <w:p w14:paraId="2DD1C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从项目效益的角度来看，本项目不仅实现了预期的社会效益、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经济效益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等方面产生了积极的影响。具体而言，增加种植小麦农民全年总收入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、提高种粮农民积极性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等方面的提升，为项目的利益相关者带来了实实在在的利益。</w:t>
      </w:r>
    </w:p>
    <w:p w14:paraId="6A56C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综上所述，2024年中央耕地建设与利用资金(耕地地力保护补贴)在绩效评价中表现出色，达到了项目的预期目标，并在多个方面取得了显著的成效。</w:t>
      </w:r>
    </w:p>
    <w:p w14:paraId="4768BDC7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2549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分，属于“优（良/中/差）”。其中，项目决策类指标权重为20分，得分为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分，得分率为</w:t>
      </w:r>
      <w:r>
        <w:rPr>
          <w:rFonts w:hint="eastAsia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分，得分率为</w:t>
      </w:r>
      <w:r>
        <w:rPr>
          <w:rFonts w:hint="eastAsia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分，得分率为</w:t>
      </w:r>
      <w:r>
        <w:rPr>
          <w:rFonts w:hint="eastAsia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分，得分率为</w:t>
      </w:r>
      <w:r>
        <w:rPr>
          <w:rFonts w:hint="eastAsia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%。具体打分情况详见：附件1综合评分表。</w:t>
      </w:r>
    </w:p>
    <w:p w14:paraId="06C56A4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3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4F62C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036BF0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1F2559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6323023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660025E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15560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0E8E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FFA2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6CA6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7D2E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19BD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3791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4A29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6C06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B787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40874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1AE9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2C13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8494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E9B9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57943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95E3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9FB6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8920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4259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09418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1959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3F08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55A0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4FA6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</w:tbl>
    <w:p w14:paraId="3FE5449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7738BD10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2F61862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03E08FA2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0E91910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47EA3FC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《关于提前下达2024年中央耕地建设与利用资金（耕地力保护补贴）预算的通知》(塔地财农[2023]22号裕财农[2023]19号)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、《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2024年自治区农业生产发展资金（耕地地力保护补贴）--直达资金》(塔地财农[2023]36号财农[2023]29号)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、《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关于下达2024年中央耕地建设与利用资金预算的通知--耕地轮作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》（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塔地财农[2024]10号裕财农[2024]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号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14C642A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4B9B5751">
      <w:pPr>
        <w:shd w:val="clear" w:color="auto" w:fill="auto"/>
        <w:spacing w:line="600" w:lineRule="exact"/>
        <w:ind w:firstLine="600" w:firstLineChars="200"/>
        <w:outlineLvl w:val="0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根据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</w:p>
    <w:p w14:paraId="2EB0EB87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13063EE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7C8DACD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621D8C4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563FB68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2E6BA452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6232DA2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2F48157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4CF441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0930DB7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（2）资金分配合理性</w:t>
      </w:r>
    </w:p>
    <w:p w14:paraId="683312B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17A90CE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162F06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13F81AAC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7998064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4C032890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4D7B2A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6927D70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2794.76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1F905B0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3EDA6BC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2794.76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18FCEA5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724DA37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FD64F9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1E36B3E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1BDE3936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12CF3CF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23996B1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52D450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1138FB8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71ABF11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0BBFE98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693AC03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</w:p>
    <w:p w14:paraId="2CDD2B7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6E5A86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综上所述，本项目的管理制度在执行过程中表现出了高度的有效性，既确保了项目的顺利进行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，又实现了项目目标的有效达成。</w:t>
      </w:r>
    </w:p>
    <w:p w14:paraId="4C50C47A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2C2A67F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%。具体产出指标完成情况如下：</w:t>
      </w:r>
    </w:p>
    <w:p w14:paraId="327AEF3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3FBC5CE0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指标1：补贴冬小麦面积，指标值：&gt;=11万亩，实际完成值：10.5339万亩，指标完成率96%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CDC902F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：项目实施乡镇数量，指标值：&gt;=5个，实际完成值：5个，指标完成率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9A30DD4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：耕地轮作面积，指标值：&gt;=1000亩，实际完成值：1000亩，指标完成率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0DB02F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质量指标：</w:t>
      </w:r>
    </w:p>
    <w:p w14:paraId="2983C07C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指标：补贴资金兑付率，指标值：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100%。</w:t>
      </w:r>
    </w:p>
    <w:p w14:paraId="5DC1B32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时效指标：</w:t>
      </w:r>
    </w:p>
    <w:p w14:paraId="38ED00CA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指标：补贴发放及时率，指标值：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100%。</w:t>
      </w:r>
    </w:p>
    <w:p w14:paraId="539A082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成本指标：</w:t>
      </w:r>
    </w:p>
    <w:p w14:paraId="2B0EDC0E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指标1：小麦补贴标准，指标值：=215.8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7元/亩，实际完成值：215.87元/亩，指标完成率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9D6E14E">
      <w:pPr>
        <w:shd w:val="clear" w:color="auto" w:fill="auto"/>
        <w:spacing w:line="600" w:lineRule="exact"/>
        <w:ind w:firstLine="640" w:firstLineChars="200"/>
        <w:outlineLvl w:val="0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：耕地轮作成本，指标值：&lt;=15万元，实际完成值：15万元，指标完成率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3187CDD3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0B4A867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256B9E9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58EEB0B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经济效益指标：</w:t>
      </w:r>
    </w:p>
    <w:p w14:paraId="23D5689C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指标：增加种植小麦农民全年总收入，指标值：&gt;=2779.76万元，实际完成值：2779.76万元，指标完成率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79415E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4FAD5FD9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指标：提高种粮农民积极性，指标值：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逐步提高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逐步提高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0A81DC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0515BD3A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指标：直接补贴政策农民满意度，指标值：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&gt;=90%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605706A4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69BE2E30">
      <w:pPr>
        <w:pStyle w:val="21"/>
        <w:spacing w:line="560" w:lineRule="exact"/>
        <w:ind w:firstLine="640"/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2024年中央耕地建设与利用资金(耕地地力保护补贴)项目年初预算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2779.76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2794.76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2794.76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7A383F30">
      <w:pPr>
        <w:spacing w:line="560" w:lineRule="exact"/>
        <w:ind w:firstLine="640" w:firstLineChars="200"/>
        <w:rPr>
          <w:rStyle w:val="20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39350B3F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2BD049F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7457C0DC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11F06A2A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19D82A1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6F9AD4F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2.二是绩效水平不高，单位绩效管理工作力量薄弱，多数以财务人员牵头开展绩效管理，业务人员业务能力和素质还有待进一步提升。</w:t>
      </w:r>
    </w:p>
    <w:p w14:paraId="4A36D13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2FB04C3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53DF508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BFF2B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1FFE482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3E6C57D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加大全局对全面实施预算绩效管理和绩效管理工作的学习力度，让“花钱必问效，无效必问责”的理念深入工作每个环节。</w:t>
      </w:r>
    </w:p>
    <w:p w14:paraId="6C5A6656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七、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197EE2E1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1659FA05">
      <w:pPr>
        <w:pStyle w:val="12"/>
        <w:spacing w:after="0" w:line="560" w:lineRule="exact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E8544C4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BAE8CA-DD70-43DF-B4DD-781D391400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D7B5B23-D785-4B2B-99D7-829A0B9F3AE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3936079-64BC-460B-A9C0-44457C36A87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1833969-1AAA-4C79-AC3B-585CF278014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5B0D4A7-E873-4DE4-81A6-4C25586E2F4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74A51F2-0C66-4E6B-9947-A4A4367109C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0949B141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0DB51FE8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6A530"/>
    <w:multiLevelType w:val="singleLevel"/>
    <w:tmpl w:val="8096A5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D89C15D"/>
    <w:multiLevelType w:val="singleLevel"/>
    <w:tmpl w:val="9D89C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ABA4AE"/>
    <w:multiLevelType w:val="singleLevel"/>
    <w:tmpl w:val="B2ABA4A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0C55859"/>
    <w:multiLevelType w:val="singleLevel"/>
    <w:tmpl w:val="E0C55859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7B07CE8"/>
    <w:multiLevelType w:val="singleLevel"/>
    <w:tmpl w:val="17B07C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TY1ODhmZjRiY2MxNDhlNzhkN2RkNzk0ZmMyNjIifQ=="/>
  </w:docVars>
  <w:rsids>
    <w:rsidRoot w:val="00000000"/>
    <w:rsid w:val="606A084F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2">
    <w:name w:val="Body Text First Indent 2"/>
    <w:basedOn w:val="5"/>
    <w:qFormat/>
    <w:uiPriority w:val="0"/>
    <w:pPr>
      <w:ind w:firstLine="420" w:firstLineChars="200"/>
    </w:pPr>
  </w:style>
  <w:style w:type="table" w:styleId="14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  <w:bCs/>
    </w:rPr>
  </w:style>
  <w:style w:type="paragraph" w:customStyle="1" w:styleId="17">
    <w:name w:val="Comment Text"/>
    <w:basedOn w:val="1"/>
    <w:link w:val="24"/>
    <w:qFormat/>
    <w:uiPriority w:val="0"/>
    <w:pPr>
      <w:jc w:val="left"/>
    </w:pPr>
  </w:style>
  <w:style w:type="paragraph" w:customStyle="1" w:styleId="18">
    <w:name w:val="Comment Subject"/>
    <w:basedOn w:val="17"/>
    <w:next w:val="17"/>
    <w:link w:val="25"/>
    <w:qFormat/>
    <w:uiPriority w:val="0"/>
    <w:rPr>
      <w:b/>
      <w:bCs/>
    </w:rPr>
  </w:style>
  <w:style w:type="character" w:customStyle="1" w:styleId="19">
    <w:name w:val="Comment Reference"/>
    <w:basedOn w:val="15"/>
    <w:qFormat/>
    <w:uiPriority w:val="0"/>
    <w:rPr>
      <w:sz w:val="21"/>
      <w:szCs w:val="21"/>
    </w:rPr>
  </w:style>
  <w:style w:type="character" w:customStyle="1" w:styleId="2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2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批注文字 字符"/>
    <w:basedOn w:val="15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批注主题 字符"/>
    <w:basedOn w:val="24"/>
    <w:link w:val="18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7FA1D9C2D91E4220AD3ABA058A1FA4BC</vt:lpwstr>
  </property>
  <property fmtid="{D5CDD505-2E9C-101B-9397-08002B2CF9AE}" pid="4" name="KSOTemplateDocerSaveRecord">
    <vt:lpwstr>eyJoZGlkIjoiY2UxYTY5Njg0NWU1NDU5MmE3NzhjZDNiMDAyZDZjNWUiLCJ1c2VySWQiOiIxMTEwNzY4OCJ9</vt:lpwstr>
  </property>
</Properties>
</file>

<file path=customXml/itemProps1.xml><?xml version="1.0" encoding="utf-8"?>
<ds:datastoreItem xmlns:ds="http://schemas.openxmlformats.org/officeDocument/2006/customXml" ds:itemID="{c89b07fd-6bc0-4e84-831a-defbc6fee4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13744</Words>
  <Characters>14718</Characters>
  <Lines>58</Lines>
  <Paragraphs>16</Paragraphs>
  <TotalTime>21</TotalTime>
  <ScaleCrop>false</ScaleCrop>
  <LinksUpToDate>false</LinksUpToDate>
  <CharactersWithSpaces>14727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Think pad</cp:lastModifiedBy>
  <dcterms:modified xsi:type="dcterms:W3CDTF">2025-11-07T05:42:33Z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7FA1D9C2D91E4220AD3ABA058A1FA4BC</vt:lpwstr>
  </property>
  <property fmtid="{D5CDD505-2E9C-101B-9397-08002B2CF9AE}" pid="4" name="KSOTemplateDocerSaveRecord">
    <vt:lpwstr>eyJoZGlkIjoiY2UxYTY5Njg0NWU1NDU5MmE3NzhjZDNiMDAyZDZjNWUiLCJ1c2VySWQiOiIxMTEwNzY4OCJ9</vt:lpwstr>
  </property>
</Properties>
</file>